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1F984" w14:textId="505E145A" w:rsidR="00C137C1" w:rsidRPr="008208AF" w:rsidRDefault="009845C7" w:rsidP="009C7786">
      <w:pPr>
        <w:jc w:val="center"/>
        <w:rPr>
          <w:b/>
          <w:sz w:val="32"/>
          <w:szCs w:val="32"/>
        </w:rPr>
      </w:pPr>
      <w:r>
        <w:rPr>
          <w:b/>
          <w:sz w:val="32"/>
          <w:szCs w:val="32"/>
        </w:rPr>
        <w:t xml:space="preserve">EXPLANATORY </w:t>
      </w:r>
      <w:r w:rsidR="00C137C1" w:rsidRPr="008208AF">
        <w:rPr>
          <w:b/>
          <w:sz w:val="32"/>
          <w:szCs w:val="32"/>
        </w:rPr>
        <w:t>NOTE</w:t>
      </w:r>
    </w:p>
    <w:p w14:paraId="219AED3B" w14:textId="77777777" w:rsidR="00776121" w:rsidRDefault="00776121" w:rsidP="00C137C1">
      <w:pPr>
        <w:rPr>
          <w:b/>
          <w:sz w:val="24"/>
          <w:szCs w:val="24"/>
        </w:rPr>
      </w:pPr>
    </w:p>
    <w:p w14:paraId="466E0CE7" w14:textId="33C82E09" w:rsidR="00C137C1" w:rsidRPr="008208AF" w:rsidRDefault="00C137C1" w:rsidP="00C137C1">
      <w:pPr>
        <w:rPr>
          <w:b/>
          <w:sz w:val="24"/>
          <w:szCs w:val="24"/>
        </w:rPr>
      </w:pPr>
      <w:r w:rsidRPr="008208AF">
        <w:rPr>
          <w:b/>
          <w:sz w:val="24"/>
          <w:szCs w:val="24"/>
        </w:rPr>
        <w:t>Purpose</w:t>
      </w:r>
    </w:p>
    <w:p w14:paraId="10EEDEE8" w14:textId="3212FF0B" w:rsidR="009845C7" w:rsidRDefault="00B27AE3" w:rsidP="009845C7">
      <w:r>
        <w:t xml:space="preserve">The well-functioning single market is one of the priorities of the </w:t>
      </w:r>
      <w:r w:rsidR="009845C7">
        <w:t xml:space="preserve">European Union </w:t>
      </w:r>
      <w:r>
        <w:t xml:space="preserve">and </w:t>
      </w:r>
      <w:r w:rsidR="009845C7">
        <w:t xml:space="preserve">free movement of products is </w:t>
      </w:r>
      <w:r>
        <w:t xml:space="preserve">one of </w:t>
      </w:r>
      <w:r w:rsidR="009845C7">
        <w:t>its important component</w:t>
      </w:r>
      <w:r>
        <w:t>s</w:t>
      </w:r>
      <w:r w:rsidR="009845C7">
        <w:t xml:space="preserve">. The harmonisation rules on textile </w:t>
      </w:r>
      <w:r>
        <w:t xml:space="preserve">fibre names and related labelling and marking of textile </w:t>
      </w:r>
      <w:r w:rsidR="009845C7">
        <w:t xml:space="preserve">products have been put in place by </w:t>
      </w:r>
      <w:r w:rsidR="009845C7" w:rsidRPr="000940F1">
        <w:rPr>
          <w:b/>
        </w:rPr>
        <w:t>Regulation (EC) No 1007/2011</w:t>
      </w:r>
      <w:r w:rsidR="009845C7">
        <w:t>. Market surveillance is an activity which is carried out by public authorities to ensure that products comply with the requirements set out in the harmonisation legislation. The market surveillance effort must be uniform across the Union and therefore close cooperation and coordination of market surveillance activities in the EU and EEA EFTA countries is essential.</w:t>
      </w:r>
    </w:p>
    <w:p w14:paraId="36EA11EB" w14:textId="77777777" w:rsidR="009845C7" w:rsidRDefault="009845C7" w:rsidP="009845C7">
      <w:r>
        <w:t>According to Article 18 of Regulation (EC) No 1007/2011, market surveillance authorities have to carry out checks on the conformity of the fibre composition of the products with the supplied information on labels or markings.</w:t>
      </w:r>
    </w:p>
    <w:p w14:paraId="4CBE4195" w14:textId="77777777" w:rsidR="009845C7" w:rsidRDefault="009845C7" w:rsidP="009845C7">
      <w:r>
        <w:t>Experience shows that the analysis of several categories of textile products by various laboratories, carrying out tests for market surveillance, delivers different results, despite</w:t>
      </w:r>
      <w:r w:rsidRPr="000720A0">
        <w:t xml:space="preserve"> </w:t>
      </w:r>
      <w:r>
        <w:t>the fact that they use the same analytical methods. Possible causes might be related to test conditions, assumptions, sample preparation and equipment calibration procedures, as well as to the understanding of Regulation (EU) No 1007/2011 and its Annexes, etc.</w:t>
      </w:r>
    </w:p>
    <w:p w14:paraId="60CBE301" w14:textId="77777777" w:rsidR="0004044A" w:rsidRDefault="009845C7" w:rsidP="0004044A">
      <w:pPr>
        <w:spacing w:after="0"/>
        <w:rPr>
          <w:rStyle w:val="Hipervnculo"/>
        </w:rPr>
      </w:pPr>
      <w:r>
        <w:t xml:space="preserve">The European Commission indicated in its report to the European Parliament and to the Council (COM(2014)633 final of 29.10.2014) that it envisaged </w:t>
      </w:r>
      <w:r w:rsidRPr="000940F1">
        <w:t>to issue "technical guidance on practical and compliance related issues".</w:t>
      </w:r>
      <w:r>
        <w:t xml:space="preserve"> For this purpose, </w:t>
      </w:r>
      <w:r w:rsidRPr="008208AF">
        <w:t>the European Commission Directorate-General for Internal Market, Industry, Entrepreneurship and SMEs</w:t>
      </w:r>
      <w:r>
        <w:t xml:space="preserve"> published the </w:t>
      </w:r>
      <w:hyperlink r:id="rId8" w:history="1">
        <w:r w:rsidRPr="00DA24B2">
          <w:rPr>
            <w:rStyle w:val="Hipervnculo"/>
          </w:rPr>
          <w:t>Call for Tenders - Technical Guidelines for EU Textile Laboratories</w:t>
        </w:r>
      </w:hyperlink>
      <w:r w:rsidR="0004044A">
        <w:rPr>
          <w:rStyle w:val="Hipervnculo"/>
        </w:rPr>
        <w:t>.</w:t>
      </w:r>
    </w:p>
    <w:p w14:paraId="6DD2BF62" w14:textId="174152AE" w:rsidR="009845C7" w:rsidRPr="0004044A" w:rsidRDefault="0004044A" w:rsidP="009845C7">
      <w:pPr>
        <w:rPr>
          <w:color w:val="0563C1" w:themeColor="hyperlink"/>
          <w:u w:val="single"/>
        </w:rPr>
      </w:pPr>
      <w:r>
        <w:rPr>
          <w:rStyle w:val="Hipervnculo"/>
        </w:rPr>
        <w:t xml:space="preserve"> </w:t>
      </w:r>
      <w:r w:rsidR="009845C7">
        <w:rPr>
          <w:rStyle w:val="Hipervnculo"/>
        </w:rPr>
        <w:t>(</w:t>
      </w:r>
      <w:hyperlink r:id="rId9" w:history="1">
        <w:r w:rsidR="009845C7" w:rsidRPr="0004044A">
          <w:rPr>
            <w:rStyle w:val="Hipervnculo"/>
          </w:rPr>
          <w:t>http://ec.europa.eu/growth/content/technical-guidelines-eu-textile-laboratories-0_nl</w:t>
        </w:r>
      </w:hyperlink>
      <w:r w:rsidR="009845C7">
        <w:rPr>
          <w:rStyle w:val="Hipervnculo"/>
        </w:rPr>
        <w:t>)</w:t>
      </w:r>
      <w:r w:rsidR="009845C7">
        <w:t xml:space="preserve">. </w:t>
      </w:r>
    </w:p>
    <w:p w14:paraId="5219EACD" w14:textId="55DE220F" w:rsidR="00C137C1" w:rsidRPr="008208AF" w:rsidRDefault="009845C7" w:rsidP="008208AF">
      <w:r>
        <w:t xml:space="preserve">The current call for expression of interest is a result of a contract awarded to Aitex following the above call for tenders. The contract will run until </w:t>
      </w:r>
      <w:r w:rsidR="00D26011">
        <w:t>4</w:t>
      </w:r>
      <w:r w:rsidR="00D26011" w:rsidRPr="00B830A1">
        <w:rPr>
          <w:vertAlign w:val="superscript"/>
        </w:rPr>
        <w:t>th</w:t>
      </w:r>
      <w:r w:rsidR="00B830A1">
        <w:t xml:space="preserve"> </w:t>
      </w:r>
      <w:r w:rsidR="00295281">
        <w:t>May</w:t>
      </w:r>
      <w:r>
        <w:t xml:space="preserve"> 201</w:t>
      </w:r>
      <w:r w:rsidR="00A03177">
        <w:t>9</w:t>
      </w:r>
      <w:r>
        <w:t xml:space="preserve">. </w:t>
      </w:r>
      <w:r w:rsidR="007E1092">
        <w:t>The</w:t>
      </w:r>
      <w:r>
        <w:t xml:space="preserve"> selected </w:t>
      </w:r>
      <w:r w:rsidR="007E1092">
        <w:t xml:space="preserve">laboratories will be </w:t>
      </w:r>
      <w:r>
        <w:t>involved in an interlaboratory exercise and preparation of the technical guidelines u</w:t>
      </w:r>
      <w:r w:rsidR="0004274E">
        <w:t xml:space="preserve">nder </w:t>
      </w:r>
      <w:r w:rsidR="007E1092">
        <w:t xml:space="preserve">Regulation </w:t>
      </w:r>
      <w:r w:rsidR="0004274E">
        <w:t>(</w:t>
      </w:r>
      <w:r w:rsidR="007E1092">
        <w:t>EU</w:t>
      </w:r>
      <w:r w:rsidR="0004274E">
        <w:t>)</w:t>
      </w:r>
      <w:r w:rsidR="007E1092">
        <w:t xml:space="preserve"> No 1007/2011.</w:t>
      </w:r>
    </w:p>
    <w:p w14:paraId="2C63C3D0" w14:textId="2E6CFF6B" w:rsidR="00DC4B0A" w:rsidRDefault="00484E71" w:rsidP="008208AF">
      <w:r w:rsidRPr="008208AF">
        <w:t>The laboratories will</w:t>
      </w:r>
      <w:r w:rsidR="00DC4B0A" w:rsidRPr="008208AF">
        <w:t xml:space="preserve"> be paid with a lump sum of 4</w:t>
      </w:r>
      <w:r w:rsidR="00F3668B">
        <w:t>.</w:t>
      </w:r>
      <w:r w:rsidR="00DC4B0A" w:rsidRPr="008208AF">
        <w:t>000 Euros</w:t>
      </w:r>
      <w:r w:rsidR="006242AB">
        <w:t xml:space="preserve"> plus 1.500 Euros for travel expenses</w:t>
      </w:r>
      <w:r w:rsidR="001F07B7" w:rsidRPr="008208AF">
        <w:t>.</w:t>
      </w:r>
    </w:p>
    <w:p w14:paraId="3F93FFD8" w14:textId="77777777" w:rsidR="00776121" w:rsidRDefault="00776121">
      <w:pPr>
        <w:jc w:val="left"/>
        <w:rPr>
          <w:rFonts w:asciiTheme="majorHAnsi" w:eastAsiaTheme="majorEastAsia" w:hAnsiTheme="majorHAnsi" w:cstheme="majorBidi"/>
          <w:b/>
          <w:bCs/>
          <w:color w:val="2F5496" w:themeColor="accent1" w:themeShade="BF"/>
          <w:sz w:val="24"/>
          <w:szCs w:val="24"/>
          <w:lang w:val="en-US"/>
        </w:rPr>
      </w:pPr>
      <w:r>
        <w:rPr>
          <w:sz w:val="24"/>
          <w:szCs w:val="24"/>
          <w:lang w:val="en-US"/>
        </w:rPr>
        <w:br w:type="page"/>
      </w:r>
    </w:p>
    <w:p w14:paraId="4C465691" w14:textId="77777777" w:rsidR="00211722" w:rsidRDefault="00211722" w:rsidP="00534829">
      <w:pPr>
        <w:pStyle w:val="Ttulo1"/>
        <w:spacing w:before="0"/>
        <w:jc w:val="center"/>
        <w:rPr>
          <w:sz w:val="24"/>
          <w:szCs w:val="24"/>
          <w:lang w:val="en-US"/>
        </w:rPr>
      </w:pPr>
    </w:p>
    <w:p w14:paraId="2DC63137" w14:textId="572F4A68" w:rsidR="00534829" w:rsidRPr="00456D9E" w:rsidRDefault="00534829" w:rsidP="00534829">
      <w:pPr>
        <w:pStyle w:val="Ttulo1"/>
        <w:spacing w:before="0"/>
        <w:jc w:val="center"/>
        <w:rPr>
          <w:sz w:val="24"/>
          <w:szCs w:val="24"/>
          <w:lang w:val="en-US"/>
        </w:rPr>
      </w:pPr>
      <w:r w:rsidRPr="00456D9E">
        <w:rPr>
          <w:sz w:val="24"/>
          <w:szCs w:val="24"/>
          <w:lang w:val="en-US"/>
        </w:rPr>
        <w:t>Call for expression of Interest / Process and Info</w:t>
      </w:r>
    </w:p>
    <w:p w14:paraId="275AE6D8" w14:textId="77777777" w:rsidR="00534829" w:rsidRPr="00456D9E" w:rsidRDefault="00534829" w:rsidP="00534829">
      <w:pPr>
        <w:rPr>
          <w:rFonts w:asciiTheme="majorHAnsi" w:hAnsiTheme="majorHAnsi"/>
          <w:lang w:val="en-US"/>
        </w:rPr>
      </w:pPr>
    </w:p>
    <w:p w14:paraId="6556BA78" w14:textId="2BCAE44D" w:rsidR="00534829" w:rsidRDefault="00534829" w:rsidP="00534829">
      <w:pPr>
        <w:spacing w:after="0"/>
      </w:pPr>
      <w:r w:rsidRPr="00543E3F">
        <w:t xml:space="preserve">The call for expressions of interest consists of the following documents: </w:t>
      </w:r>
    </w:p>
    <w:p w14:paraId="21A527DB" w14:textId="77777777" w:rsidR="00776121" w:rsidRPr="00543E3F" w:rsidRDefault="00776121" w:rsidP="00534829">
      <w:pPr>
        <w:spacing w:after="0"/>
      </w:pPr>
    </w:p>
    <w:p w14:paraId="4B3C6ACE" w14:textId="74288948" w:rsidR="00534829" w:rsidRPr="001A3440" w:rsidRDefault="00534829" w:rsidP="00543E3F">
      <w:pPr>
        <w:pStyle w:val="Prrafodelista"/>
        <w:numPr>
          <w:ilvl w:val="0"/>
          <w:numId w:val="15"/>
        </w:numPr>
        <w:spacing w:after="0"/>
      </w:pPr>
      <w:r w:rsidRPr="001A3440">
        <w:t>Open Call: an online text with the basic info for the call</w:t>
      </w:r>
      <w:r w:rsidR="004B6445" w:rsidRPr="001A3440">
        <w:t>.</w:t>
      </w:r>
    </w:p>
    <w:p w14:paraId="67DA392D" w14:textId="554AF735" w:rsidR="00534829" w:rsidRPr="001A3440" w:rsidRDefault="001A3440" w:rsidP="00543E3F">
      <w:pPr>
        <w:pStyle w:val="Prrafodelista"/>
        <w:numPr>
          <w:ilvl w:val="0"/>
          <w:numId w:val="15"/>
        </w:numPr>
        <w:spacing w:after="0"/>
      </w:pPr>
      <w:r>
        <w:t>Expression of Interest</w:t>
      </w:r>
      <w:r w:rsidR="00534829" w:rsidRPr="001A3440">
        <w:t xml:space="preserve"> form</w:t>
      </w:r>
      <w:r w:rsidR="004B6445" w:rsidRPr="001A3440">
        <w:t>.</w:t>
      </w:r>
    </w:p>
    <w:p w14:paraId="05767DD6" w14:textId="51EA5EBF" w:rsidR="00534829" w:rsidRDefault="00534829" w:rsidP="00543E3F">
      <w:pPr>
        <w:pStyle w:val="Prrafodelista"/>
        <w:numPr>
          <w:ilvl w:val="0"/>
          <w:numId w:val="15"/>
        </w:numPr>
        <w:spacing w:after="0"/>
      </w:pPr>
      <w:r w:rsidRPr="001A3440">
        <w:t>Explanatory note - Guide for applicants</w:t>
      </w:r>
      <w:r w:rsidR="004B6445" w:rsidRPr="001A3440">
        <w:t>.</w:t>
      </w:r>
    </w:p>
    <w:p w14:paraId="403D5E25" w14:textId="41A79329" w:rsidR="001A3440" w:rsidRPr="001A3440" w:rsidRDefault="001A3440" w:rsidP="00543E3F">
      <w:pPr>
        <w:pStyle w:val="Prrafodelista"/>
        <w:numPr>
          <w:ilvl w:val="0"/>
          <w:numId w:val="15"/>
        </w:numPr>
        <w:spacing w:after="0"/>
      </w:pPr>
      <w:r>
        <w:t>Declaration of Honour.</w:t>
      </w:r>
    </w:p>
    <w:p w14:paraId="5D1418A8" w14:textId="333A1C96" w:rsidR="00534829" w:rsidRPr="00D463EE" w:rsidRDefault="00534829" w:rsidP="00534829">
      <w:pPr>
        <w:pStyle w:val="Ttulo1"/>
        <w:rPr>
          <w:rFonts w:cs="Calibri"/>
          <w:sz w:val="24"/>
          <w:szCs w:val="24"/>
          <w:lang w:val="en-US"/>
        </w:rPr>
      </w:pPr>
      <w:bookmarkStart w:id="0" w:name="_Toc490483760"/>
      <w:r w:rsidRPr="00D463EE">
        <w:rPr>
          <w:rFonts w:cs="Calibri"/>
          <w:sz w:val="24"/>
          <w:szCs w:val="24"/>
          <w:lang w:val="en-US"/>
        </w:rPr>
        <w:t xml:space="preserve">The selection process consists of </w:t>
      </w:r>
      <w:r>
        <w:rPr>
          <w:rFonts w:cs="Calibri"/>
          <w:sz w:val="24"/>
          <w:szCs w:val="24"/>
          <w:lang w:val="en-US"/>
        </w:rPr>
        <w:t xml:space="preserve">two </w:t>
      </w:r>
      <w:r w:rsidRPr="00D463EE">
        <w:rPr>
          <w:rFonts w:cs="Calibri"/>
          <w:sz w:val="24"/>
          <w:szCs w:val="24"/>
          <w:lang w:val="en-US"/>
        </w:rPr>
        <w:t>phases:</w:t>
      </w:r>
      <w:bookmarkEnd w:id="0"/>
    </w:p>
    <w:p w14:paraId="6702CAEF" w14:textId="77777777" w:rsidR="00534829" w:rsidRDefault="00534829" w:rsidP="004B6445">
      <w:pPr>
        <w:rPr>
          <w:lang w:val="en-US"/>
        </w:rPr>
      </w:pPr>
    </w:p>
    <w:p w14:paraId="71301953" w14:textId="3C019CE6" w:rsidR="00534829" w:rsidRPr="00D46BAE" w:rsidRDefault="00534829" w:rsidP="00534829">
      <w:pPr>
        <w:autoSpaceDE w:val="0"/>
        <w:autoSpaceDN w:val="0"/>
        <w:adjustRightInd w:val="0"/>
        <w:spacing w:after="0" w:line="240" w:lineRule="auto"/>
        <w:rPr>
          <w:rFonts w:asciiTheme="majorHAnsi" w:hAnsiTheme="majorHAnsi" w:cs="Cambria-BoldItalic"/>
          <w:b/>
          <w:bCs/>
          <w:i/>
          <w:iCs/>
          <w:color w:val="4F83BE"/>
          <w:sz w:val="24"/>
          <w:szCs w:val="24"/>
          <w:lang w:val="en-US"/>
        </w:rPr>
      </w:pPr>
      <w:r w:rsidRPr="00D46BAE">
        <w:rPr>
          <w:rFonts w:asciiTheme="majorHAnsi" w:hAnsiTheme="majorHAnsi" w:cs="Cambria-BoldItalic"/>
          <w:b/>
          <w:bCs/>
          <w:i/>
          <w:iCs/>
          <w:color w:val="4F83BE"/>
          <w:sz w:val="24"/>
          <w:szCs w:val="24"/>
          <w:lang w:val="en-US"/>
        </w:rPr>
        <w:t>Phase 1: Eligibility check</w:t>
      </w:r>
    </w:p>
    <w:p w14:paraId="5D487192" w14:textId="2741B1CF" w:rsidR="00534829" w:rsidRPr="004B6445" w:rsidRDefault="00534829" w:rsidP="00534829">
      <w:pPr>
        <w:autoSpaceDE w:val="0"/>
        <w:autoSpaceDN w:val="0"/>
        <w:adjustRightInd w:val="0"/>
        <w:spacing w:after="0" w:line="240" w:lineRule="auto"/>
      </w:pPr>
      <w:r w:rsidRPr="004B6445">
        <w:t>The first phase consists of the eligibility criteria of applicants.</w:t>
      </w:r>
    </w:p>
    <w:p w14:paraId="3F39E7F3" w14:textId="77777777" w:rsidR="00534829" w:rsidRPr="004B6445" w:rsidRDefault="00534829" w:rsidP="00534829">
      <w:pPr>
        <w:autoSpaceDE w:val="0"/>
        <w:autoSpaceDN w:val="0"/>
        <w:adjustRightInd w:val="0"/>
        <w:spacing w:after="0" w:line="240" w:lineRule="auto"/>
      </w:pPr>
    </w:p>
    <w:p w14:paraId="2B841D0F" w14:textId="46A2E52C" w:rsidR="00534829" w:rsidRPr="004B6445" w:rsidRDefault="00534829" w:rsidP="00534829">
      <w:pPr>
        <w:autoSpaceDE w:val="0"/>
        <w:autoSpaceDN w:val="0"/>
        <w:adjustRightInd w:val="0"/>
        <w:spacing w:after="0" w:line="240" w:lineRule="auto"/>
      </w:pPr>
      <w:r w:rsidRPr="004B6445">
        <w:t xml:space="preserve">Applicants will be checked for their compliance with the eligibility criteria to confirm that the minimum requirements are met. These criteria examine whether the </w:t>
      </w:r>
      <w:r w:rsidR="001A3440">
        <w:t>applicant</w:t>
      </w:r>
      <w:r w:rsidRPr="004B6445">
        <w:t xml:space="preserve"> fulfils the minimum requirements. Eligibility criteria can be answered with a “Yes” or “No”.</w:t>
      </w:r>
    </w:p>
    <w:p w14:paraId="065BA2BE" w14:textId="77777777" w:rsidR="00534829" w:rsidRPr="00D46BAE" w:rsidRDefault="00534829" w:rsidP="00534829">
      <w:pPr>
        <w:autoSpaceDE w:val="0"/>
        <w:autoSpaceDN w:val="0"/>
        <w:adjustRightInd w:val="0"/>
        <w:spacing w:after="0" w:line="240" w:lineRule="auto"/>
        <w:rPr>
          <w:rFonts w:asciiTheme="majorHAnsi" w:hAnsiTheme="majorHAnsi" w:cs="Calibri"/>
          <w:sz w:val="24"/>
          <w:szCs w:val="24"/>
          <w:lang w:val="en-US"/>
        </w:rPr>
      </w:pPr>
    </w:p>
    <w:p w14:paraId="047F01C8" w14:textId="6860C5AB" w:rsidR="00534829" w:rsidRPr="005D4037" w:rsidRDefault="00534829" w:rsidP="00534829">
      <w:pPr>
        <w:autoSpaceDE w:val="0"/>
        <w:autoSpaceDN w:val="0"/>
        <w:adjustRightInd w:val="0"/>
        <w:spacing w:after="0" w:line="240" w:lineRule="auto"/>
        <w:rPr>
          <w:rFonts w:cstheme="minorHAnsi"/>
          <w:b/>
          <w:sz w:val="24"/>
          <w:szCs w:val="24"/>
          <w:lang w:val="en-US"/>
        </w:rPr>
      </w:pPr>
      <w:r w:rsidRPr="005D4037">
        <w:rPr>
          <w:rFonts w:cstheme="minorHAnsi"/>
          <w:b/>
          <w:sz w:val="24"/>
          <w:szCs w:val="24"/>
          <w:lang w:val="en-US"/>
        </w:rPr>
        <w:t>Applications that do not meet eligibility criteria are rejected.</w:t>
      </w:r>
    </w:p>
    <w:p w14:paraId="0116A712" w14:textId="77777777" w:rsidR="00534829" w:rsidRPr="00AA66E1" w:rsidRDefault="00534829" w:rsidP="004B6445">
      <w:pPr>
        <w:rPr>
          <w:lang w:val="en-US"/>
        </w:rPr>
      </w:pPr>
    </w:p>
    <w:p w14:paraId="47518AB9" w14:textId="22F5A81C" w:rsidR="00690A83" w:rsidRDefault="00690A83" w:rsidP="00690A83">
      <w:pPr>
        <w:ind w:left="360"/>
        <w:rPr>
          <w:b/>
          <w:szCs w:val="24"/>
        </w:rPr>
      </w:pPr>
      <w:r w:rsidRPr="008208AF">
        <w:rPr>
          <w:b/>
          <w:szCs w:val="24"/>
        </w:rPr>
        <w:t>Eligibility</w:t>
      </w:r>
      <w:r w:rsidR="008208AF" w:rsidRPr="008208AF">
        <w:rPr>
          <w:b/>
          <w:szCs w:val="24"/>
        </w:rPr>
        <w:t xml:space="preserve"> Criteria</w:t>
      </w:r>
    </w:p>
    <w:p w14:paraId="3A4C3BBA" w14:textId="2DD7B0B5" w:rsidR="00AB1F5A" w:rsidRPr="001A3440" w:rsidRDefault="00AB1F5A" w:rsidP="00AB1F5A">
      <w:pPr>
        <w:pStyle w:val="Prrafodelista"/>
        <w:numPr>
          <w:ilvl w:val="0"/>
          <w:numId w:val="4"/>
        </w:numPr>
        <w:rPr>
          <w:szCs w:val="24"/>
        </w:rPr>
      </w:pPr>
      <w:r w:rsidRPr="00AB1F5A">
        <w:t xml:space="preserve">Not in process of receiving or bankruptcy. </w:t>
      </w:r>
    </w:p>
    <w:p w14:paraId="4B9B71A5" w14:textId="5244ABCF" w:rsidR="00AB1F5A" w:rsidRDefault="00AB1F5A" w:rsidP="00AB1F5A">
      <w:pPr>
        <w:pStyle w:val="Prrafodelista"/>
        <w:numPr>
          <w:ilvl w:val="0"/>
          <w:numId w:val="4"/>
        </w:numPr>
        <w:rPr>
          <w:szCs w:val="24"/>
        </w:rPr>
      </w:pPr>
      <w:r w:rsidRPr="008208AF">
        <w:rPr>
          <w:szCs w:val="24"/>
        </w:rPr>
        <w:t>Acc</w:t>
      </w:r>
      <w:r w:rsidR="00F3668B">
        <w:rPr>
          <w:szCs w:val="24"/>
        </w:rPr>
        <w:t>redited by National Market A</w:t>
      </w:r>
      <w:r w:rsidRPr="008208AF">
        <w:rPr>
          <w:szCs w:val="24"/>
        </w:rPr>
        <w:t>uthority in EU/EEA EFTA Member State in line with Regulation</w:t>
      </w:r>
      <w:r>
        <w:rPr>
          <w:szCs w:val="24"/>
        </w:rPr>
        <w:t xml:space="preserve"> (</w:t>
      </w:r>
      <w:r w:rsidRPr="008208AF">
        <w:rPr>
          <w:szCs w:val="24"/>
        </w:rPr>
        <w:t>EC</w:t>
      </w:r>
      <w:r>
        <w:rPr>
          <w:szCs w:val="24"/>
        </w:rPr>
        <w:t>)</w:t>
      </w:r>
      <w:r w:rsidRPr="008208AF">
        <w:rPr>
          <w:szCs w:val="24"/>
        </w:rPr>
        <w:t xml:space="preserve"> Nº 765/2008.</w:t>
      </w:r>
    </w:p>
    <w:p w14:paraId="28EC3AF1" w14:textId="412F32D7" w:rsidR="00AB1F5A" w:rsidRPr="00AB1F5A" w:rsidRDefault="00F776C9" w:rsidP="00AB1F5A">
      <w:pPr>
        <w:pStyle w:val="Prrafodelista"/>
        <w:numPr>
          <w:ilvl w:val="0"/>
          <w:numId w:val="4"/>
        </w:numPr>
        <w:rPr>
          <w:szCs w:val="24"/>
        </w:rPr>
      </w:pPr>
      <w:r>
        <w:t xml:space="preserve">Any </w:t>
      </w:r>
      <w:r w:rsidR="00AB1F5A" w:rsidRPr="00AB1F5A">
        <w:t xml:space="preserve">Experience in performing services related to </w:t>
      </w:r>
      <w:r w:rsidR="00137FCE">
        <w:t>Regulation (EU) No</w:t>
      </w:r>
      <w:r w:rsidR="00AB1F5A" w:rsidRPr="00AB1F5A">
        <w:t xml:space="preserve"> 1007/2011</w:t>
      </w:r>
      <w:r w:rsidR="002B113A">
        <w:t xml:space="preserve"> </w:t>
      </w:r>
      <w:r w:rsidR="002B113A" w:rsidRPr="001A3440">
        <w:t>on behalf of Market Surveillance Authority</w:t>
      </w:r>
      <w:r w:rsidR="002B113A">
        <w:t xml:space="preserve"> in </w:t>
      </w:r>
      <w:r w:rsidR="002B113A" w:rsidRPr="008208AF">
        <w:rPr>
          <w:szCs w:val="24"/>
        </w:rPr>
        <w:t>EU/EEA EFTA</w:t>
      </w:r>
      <w:r w:rsidR="002B113A">
        <w:t xml:space="preserve"> Member States.</w:t>
      </w:r>
    </w:p>
    <w:p w14:paraId="25E732E4" w14:textId="0F4548C4" w:rsidR="00AB1F5A" w:rsidRPr="00AB1F5A" w:rsidRDefault="007E1092" w:rsidP="00AB1F5A">
      <w:pPr>
        <w:pStyle w:val="Prrafodelista"/>
        <w:numPr>
          <w:ilvl w:val="0"/>
          <w:numId w:val="4"/>
        </w:numPr>
        <w:rPr>
          <w:szCs w:val="24"/>
        </w:rPr>
      </w:pPr>
      <w:r>
        <w:t>A</w:t>
      </w:r>
      <w:r w:rsidR="00F776C9">
        <w:t xml:space="preserve">ny </w:t>
      </w:r>
      <w:r w:rsidR="00221B9D">
        <w:t>participation</w:t>
      </w:r>
      <w:r w:rsidR="00AB1F5A" w:rsidRPr="00AB1F5A">
        <w:t xml:space="preserve"> in </w:t>
      </w:r>
      <w:r>
        <w:t>round</w:t>
      </w:r>
      <w:r w:rsidR="00482F66">
        <w:t>-</w:t>
      </w:r>
      <w:r>
        <w:t>robin exercises</w:t>
      </w:r>
      <w:r w:rsidR="00221B9D">
        <w:t xml:space="preserve"> during </w:t>
      </w:r>
      <w:r w:rsidR="00482F66">
        <w:t xml:space="preserve">the </w:t>
      </w:r>
      <w:r w:rsidR="00221B9D">
        <w:t xml:space="preserve">last </w:t>
      </w:r>
      <w:r w:rsidR="00417958">
        <w:t xml:space="preserve">five </w:t>
      </w:r>
      <w:r w:rsidR="00221B9D">
        <w:t>years</w:t>
      </w:r>
      <w:r>
        <w:t>.</w:t>
      </w:r>
    </w:p>
    <w:p w14:paraId="453F0A32" w14:textId="4DE40F63" w:rsidR="00AB1F5A" w:rsidRPr="001B6515" w:rsidRDefault="00B830A1" w:rsidP="00B830A1">
      <w:pPr>
        <w:pStyle w:val="Prrafodelista"/>
        <w:numPr>
          <w:ilvl w:val="0"/>
          <w:numId w:val="4"/>
        </w:numPr>
        <w:rPr>
          <w:szCs w:val="24"/>
        </w:rPr>
      </w:pPr>
      <w:r w:rsidRPr="001B6515">
        <w:t>Laboratory accredited in any management system (e.g. EN ISO/IEC 17025) for the methods in Annex VIII of Regulation (EU) No 1007/2011 (e.g. ISO 1833 series) regarding quantitative analysis of textile products.</w:t>
      </w:r>
    </w:p>
    <w:p w14:paraId="604639CA" w14:textId="2695B783" w:rsidR="004105AD" w:rsidRPr="007E1092" w:rsidRDefault="004105AD" w:rsidP="00AA66E1"/>
    <w:p w14:paraId="31D46C69" w14:textId="77777777" w:rsidR="007E1092" w:rsidRDefault="007E1092">
      <w:pPr>
        <w:jc w:val="left"/>
        <w:rPr>
          <w:b/>
          <w:szCs w:val="24"/>
        </w:rPr>
      </w:pPr>
      <w:r>
        <w:rPr>
          <w:b/>
          <w:szCs w:val="24"/>
        </w:rPr>
        <w:br w:type="page"/>
      </w:r>
    </w:p>
    <w:p w14:paraId="12155280" w14:textId="77777777" w:rsidR="00211722" w:rsidRDefault="00211722" w:rsidP="002B535C">
      <w:pPr>
        <w:autoSpaceDE w:val="0"/>
        <w:autoSpaceDN w:val="0"/>
        <w:adjustRightInd w:val="0"/>
        <w:spacing w:after="0" w:line="240" w:lineRule="auto"/>
        <w:rPr>
          <w:rFonts w:asciiTheme="majorHAnsi" w:hAnsiTheme="majorHAnsi" w:cs="Cambria-BoldItalic"/>
          <w:b/>
          <w:bCs/>
          <w:i/>
          <w:iCs/>
          <w:color w:val="4F83BE"/>
          <w:sz w:val="24"/>
          <w:szCs w:val="24"/>
          <w:lang w:val="en-US"/>
        </w:rPr>
      </w:pPr>
    </w:p>
    <w:p w14:paraId="42261E69" w14:textId="4173C9E6" w:rsidR="002B535C" w:rsidRPr="00D46BAE" w:rsidRDefault="002B535C" w:rsidP="002B535C">
      <w:pPr>
        <w:autoSpaceDE w:val="0"/>
        <w:autoSpaceDN w:val="0"/>
        <w:adjustRightInd w:val="0"/>
        <w:spacing w:after="0" w:line="240" w:lineRule="auto"/>
        <w:rPr>
          <w:rFonts w:asciiTheme="majorHAnsi" w:hAnsiTheme="majorHAnsi" w:cs="Cambria-BoldItalic"/>
          <w:b/>
          <w:bCs/>
          <w:i/>
          <w:iCs/>
          <w:color w:val="4F83BE"/>
          <w:sz w:val="24"/>
          <w:szCs w:val="24"/>
          <w:lang w:val="en-US"/>
        </w:rPr>
      </w:pPr>
      <w:r w:rsidRPr="00D46BAE">
        <w:rPr>
          <w:rFonts w:asciiTheme="majorHAnsi" w:hAnsiTheme="majorHAnsi" w:cs="Cambria-BoldItalic"/>
          <w:b/>
          <w:bCs/>
          <w:i/>
          <w:iCs/>
          <w:color w:val="4F83BE"/>
          <w:sz w:val="24"/>
          <w:szCs w:val="24"/>
          <w:lang w:val="en-US"/>
        </w:rPr>
        <w:t xml:space="preserve">Phase </w:t>
      </w:r>
      <w:r>
        <w:rPr>
          <w:rFonts w:asciiTheme="majorHAnsi" w:hAnsiTheme="majorHAnsi" w:cs="Cambria-BoldItalic"/>
          <w:b/>
          <w:bCs/>
          <w:i/>
          <w:iCs/>
          <w:color w:val="4F83BE"/>
          <w:sz w:val="24"/>
          <w:szCs w:val="24"/>
          <w:lang w:val="en-US"/>
        </w:rPr>
        <w:t>2</w:t>
      </w:r>
      <w:r w:rsidRPr="00D46BAE">
        <w:rPr>
          <w:rFonts w:asciiTheme="majorHAnsi" w:hAnsiTheme="majorHAnsi" w:cs="Cambria-BoldItalic"/>
          <w:b/>
          <w:bCs/>
          <w:i/>
          <w:iCs/>
          <w:color w:val="4F83BE"/>
          <w:sz w:val="24"/>
          <w:szCs w:val="24"/>
          <w:lang w:val="en-US"/>
        </w:rPr>
        <w:t xml:space="preserve">: </w:t>
      </w:r>
      <w:r>
        <w:rPr>
          <w:rFonts w:asciiTheme="majorHAnsi" w:hAnsiTheme="majorHAnsi" w:cs="Cambria-BoldItalic"/>
          <w:b/>
          <w:bCs/>
          <w:i/>
          <w:iCs/>
          <w:color w:val="4F83BE"/>
          <w:sz w:val="24"/>
          <w:szCs w:val="24"/>
          <w:lang w:val="en-US"/>
        </w:rPr>
        <w:t xml:space="preserve">Selection </w:t>
      </w:r>
      <w:r w:rsidRPr="00D46BAE">
        <w:rPr>
          <w:rFonts w:asciiTheme="majorHAnsi" w:hAnsiTheme="majorHAnsi" w:cs="Cambria-BoldItalic"/>
          <w:b/>
          <w:bCs/>
          <w:i/>
          <w:iCs/>
          <w:color w:val="4F83BE"/>
          <w:sz w:val="24"/>
          <w:szCs w:val="24"/>
          <w:lang w:val="en-US"/>
        </w:rPr>
        <w:t>check</w:t>
      </w:r>
    </w:p>
    <w:p w14:paraId="3E7B5206" w14:textId="77777777" w:rsidR="002B535C" w:rsidRDefault="002B535C" w:rsidP="00D0455D">
      <w:pPr>
        <w:rPr>
          <w:b/>
          <w:szCs w:val="24"/>
        </w:rPr>
      </w:pPr>
    </w:p>
    <w:p w14:paraId="08A9B365" w14:textId="3FD3C0D7" w:rsidR="002B535C" w:rsidRPr="005D4037" w:rsidRDefault="002B535C" w:rsidP="002B535C">
      <w:pPr>
        <w:autoSpaceDE w:val="0"/>
        <w:autoSpaceDN w:val="0"/>
        <w:adjustRightInd w:val="0"/>
        <w:spacing w:after="0" w:line="240" w:lineRule="auto"/>
        <w:rPr>
          <w:rFonts w:cstheme="minorHAnsi"/>
          <w:sz w:val="24"/>
          <w:szCs w:val="24"/>
          <w:lang w:val="en-US"/>
        </w:rPr>
      </w:pPr>
      <w:r w:rsidRPr="005D4037">
        <w:rPr>
          <w:rFonts w:cstheme="minorHAnsi"/>
          <w:sz w:val="24"/>
          <w:szCs w:val="24"/>
          <w:lang w:val="en-US"/>
        </w:rPr>
        <w:t xml:space="preserve">The second phase consists of the selection criteria of applicants. </w:t>
      </w:r>
      <w:r w:rsidR="001B6515">
        <w:rPr>
          <w:rFonts w:cstheme="minorHAnsi"/>
          <w:sz w:val="24"/>
          <w:szCs w:val="24"/>
          <w:lang w:val="en-US"/>
        </w:rPr>
        <w:t xml:space="preserve">Please note that </w:t>
      </w:r>
      <w:r w:rsidR="004E4EC9">
        <w:rPr>
          <w:rFonts w:cstheme="minorHAnsi"/>
          <w:sz w:val="24"/>
          <w:szCs w:val="24"/>
          <w:lang w:val="en-US"/>
        </w:rPr>
        <w:t xml:space="preserve">when reference is made to </w:t>
      </w:r>
      <w:r w:rsidR="004E4EC9" w:rsidRPr="005D4037">
        <w:t>Regulation (EU) No 1007/2011</w:t>
      </w:r>
      <w:r w:rsidR="004E4EC9">
        <w:t xml:space="preserve">, you are welcome to consider Directives that were repealed by that Regulation.  </w:t>
      </w:r>
      <w:r w:rsidR="001B6515">
        <w:rPr>
          <w:rFonts w:cstheme="minorHAnsi"/>
          <w:sz w:val="24"/>
          <w:szCs w:val="24"/>
          <w:lang w:val="en-US"/>
        </w:rPr>
        <w:t xml:space="preserve"> </w:t>
      </w:r>
    </w:p>
    <w:p w14:paraId="79D8AE75" w14:textId="77777777" w:rsidR="002B535C" w:rsidRPr="00AA66E1" w:rsidRDefault="002B535C" w:rsidP="00A308A8">
      <w:pPr>
        <w:rPr>
          <w:lang w:val="en-US"/>
        </w:rPr>
      </w:pPr>
    </w:p>
    <w:p w14:paraId="43FA1715" w14:textId="58ADE80B" w:rsidR="008208AF" w:rsidRPr="008208AF" w:rsidRDefault="009845C7" w:rsidP="008208AF">
      <w:pPr>
        <w:ind w:firstLine="360"/>
        <w:rPr>
          <w:b/>
          <w:szCs w:val="24"/>
        </w:rPr>
      </w:pPr>
      <w:r>
        <w:rPr>
          <w:b/>
          <w:szCs w:val="24"/>
        </w:rPr>
        <w:t xml:space="preserve">Selection </w:t>
      </w:r>
      <w:r w:rsidR="008208AF" w:rsidRPr="008208AF">
        <w:rPr>
          <w:b/>
          <w:szCs w:val="24"/>
        </w:rPr>
        <w:t>Criteria</w:t>
      </w:r>
    </w:p>
    <w:p w14:paraId="49D58681" w14:textId="127DF6AF" w:rsidR="005D4037" w:rsidRDefault="005D4037" w:rsidP="00AB1F5A">
      <w:pPr>
        <w:ind w:firstLine="360"/>
        <w:rPr>
          <w:i/>
          <w:u w:val="single"/>
        </w:rPr>
      </w:pPr>
      <w:r>
        <w:rPr>
          <w:i/>
          <w:u w:val="single"/>
        </w:rPr>
        <w:t>Experience</w:t>
      </w:r>
    </w:p>
    <w:p w14:paraId="55713DD8" w14:textId="624C6678" w:rsidR="005D4037" w:rsidRDefault="005D4037" w:rsidP="005D4037">
      <w:pPr>
        <w:pStyle w:val="Prrafodelista"/>
        <w:numPr>
          <w:ilvl w:val="0"/>
          <w:numId w:val="16"/>
        </w:numPr>
      </w:pPr>
      <w:r>
        <w:t>L</w:t>
      </w:r>
      <w:r w:rsidRPr="005D4037">
        <w:t>aboratory accredited in any management system (e.g. EN ISO/IEC 17025) for the methods in Annex VIII of Regulation (EU) No 1007/2011 (e.g. ISO 1833 series) regarding quantitative analysis of textile fibres</w:t>
      </w:r>
      <w:r w:rsidR="00FE1182">
        <w:t>.</w:t>
      </w:r>
    </w:p>
    <w:p w14:paraId="52C2B221" w14:textId="36D042C0" w:rsidR="005D4037" w:rsidRDefault="005D4037" w:rsidP="005D4037">
      <w:pPr>
        <w:pStyle w:val="Prrafodelista"/>
        <w:numPr>
          <w:ilvl w:val="0"/>
          <w:numId w:val="16"/>
        </w:numPr>
      </w:pPr>
      <w:r>
        <w:t xml:space="preserve">Previous </w:t>
      </w:r>
      <w:r w:rsidRPr="005D4037">
        <w:t>experience in performing analyses under Regulation (EU) No 1007/2011 on behalf of Market Surveillance Authorities.</w:t>
      </w:r>
    </w:p>
    <w:p w14:paraId="6E9D9910" w14:textId="390BFDBB" w:rsidR="005D4037" w:rsidRDefault="005D4037" w:rsidP="005D4037">
      <w:pPr>
        <w:pStyle w:val="Prrafodelista"/>
        <w:numPr>
          <w:ilvl w:val="0"/>
          <w:numId w:val="16"/>
        </w:numPr>
      </w:pPr>
      <w:r>
        <w:t>Demonstrated e</w:t>
      </w:r>
      <w:r w:rsidRPr="005D4037">
        <w:t>xperience in participation in round-robin tests.</w:t>
      </w:r>
    </w:p>
    <w:p w14:paraId="60BDC7D6" w14:textId="374D58B9" w:rsidR="005D4037" w:rsidRPr="005D4037" w:rsidRDefault="005D4037" w:rsidP="00FE1182">
      <w:pPr>
        <w:pStyle w:val="Prrafodelista"/>
        <w:numPr>
          <w:ilvl w:val="0"/>
          <w:numId w:val="16"/>
        </w:numPr>
        <w:ind w:left="714" w:hanging="357"/>
      </w:pPr>
      <w:r w:rsidRPr="005D4037">
        <w:t>Professional experience of the person/team responsible of the contract regarding Regulation (EU) No 1007/2011.</w:t>
      </w:r>
    </w:p>
    <w:p w14:paraId="2C671C00" w14:textId="111094BA" w:rsidR="005D4037" w:rsidRPr="005D4037" w:rsidRDefault="005D4037" w:rsidP="00FE1182">
      <w:pPr>
        <w:ind w:firstLine="360"/>
        <w:rPr>
          <w:i/>
          <w:u w:val="single"/>
        </w:rPr>
      </w:pPr>
      <w:r w:rsidRPr="005D4037">
        <w:rPr>
          <w:i/>
          <w:u w:val="single"/>
        </w:rPr>
        <w:t>Capabilities</w:t>
      </w:r>
    </w:p>
    <w:p w14:paraId="1C11B3DF" w14:textId="4EFDEA87" w:rsidR="005D4037" w:rsidRDefault="005D4037" w:rsidP="005D4037">
      <w:pPr>
        <w:pStyle w:val="Prrafodelista"/>
        <w:numPr>
          <w:ilvl w:val="0"/>
          <w:numId w:val="17"/>
        </w:numPr>
      </w:pPr>
      <w:r w:rsidRPr="005D4037">
        <w:t>Degree of specialization of the laboratory in textiles services, mainly related with fibres composition.</w:t>
      </w:r>
    </w:p>
    <w:p w14:paraId="7E1B0FFC" w14:textId="47C3ED86" w:rsidR="005D4037" w:rsidRDefault="005D4037" w:rsidP="00FE1182">
      <w:pPr>
        <w:pStyle w:val="Prrafodelista"/>
        <w:numPr>
          <w:ilvl w:val="0"/>
          <w:numId w:val="17"/>
        </w:numPr>
        <w:ind w:left="714" w:hanging="357"/>
      </w:pPr>
      <w:r w:rsidRPr="005D4037">
        <w:t>Capabilities of the laboratory in terms of instrumentation and equipment needed for the technical analysis of textile fibres and products.</w:t>
      </w:r>
    </w:p>
    <w:p w14:paraId="427C04AC" w14:textId="558EE022" w:rsidR="005D4037" w:rsidRDefault="005D4037" w:rsidP="005D4037">
      <w:pPr>
        <w:ind w:left="360"/>
        <w:rPr>
          <w:i/>
          <w:u w:val="single"/>
        </w:rPr>
      </w:pPr>
      <w:r>
        <w:rPr>
          <w:i/>
          <w:u w:val="single"/>
        </w:rPr>
        <w:t>Others</w:t>
      </w:r>
    </w:p>
    <w:p w14:paraId="65394FDE" w14:textId="23A291A3" w:rsidR="005D4037" w:rsidRDefault="00A308A8" w:rsidP="005D4037">
      <w:pPr>
        <w:pStyle w:val="Prrafodelista"/>
        <w:numPr>
          <w:ilvl w:val="0"/>
          <w:numId w:val="18"/>
        </w:numPr>
      </w:pPr>
      <w:r>
        <w:t>Subcontract of external laboratories in order to perform test.</w:t>
      </w:r>
    </w:p>
    <w:p w14:paraId="39229469" w14:textId="3B8E32AC" w:rsidR="00A308A8" w:rsidRPr="005D4037" w:rsidRDefault="00A308A8" w:rsidP="00A308A8">
      <w:pPr>
        <w:pStyle w:val="Prrafodelista"/>
        <w:numPr>
          <w:ilvl w:val="0"/>
          <w:numId w:val="18"/>
        </w:numPr>
      </w:pPr>
      <w:r>
        <w:t>Laboratory status (</w:t>
      </w:r>
      <w:r w:rsidRPr="00A308A8">
        <w:t xml:space="preserve">independent laboratory </w:t>
      </w:r>
      <w:r>
        <w:t xml:space="preserve">or laboratory part of </w:t>
      </w:r>
      <w:r w:rsidRPr="00A308A8">
        <w:t>any entrepreneur/company</w:t>
      </w:r>
      <w:r>
        <w:t>).</w:t>
      </w:r>
    </w:p>
    <w:p w14:paraId="5592A41A" w14:textId="77777777" w:rsidR="00A308A8" w:rsidRDefault="00A308A8" w:rsidP="00A308A8"/>
    <w:p w14:paraId="4D31C9AD" w14:textId="738F2530" w:rsidR="00B76C56" w:rsidRPr="00FE1182" w:rsidRDefault="0068290B" w:rsidP="00FE1182">
      <w:pPr>
        <w:pStyle w:val="Ttulo1"/>
        <w:rPr>
          <w:rFonts w:cs="Calibri"/>
          <w:sz w:val="24"/>
          <w:szCs w:val="24"/>
          <w:lang w:val="en-US"/>
        </w:rPr>
      </w:pPr>
      <w:r w:rsidRPr="00FE1182">
        <w:rPr>
          <w:rFonts w:cs="Calibri"/>
          <w:sz w:val="24"/>
          <w:szCs w:val="24"/>
          <w:lang w:val="en-US"/>
        </w:rPr>
        <w:t xml:space="preserve">How to </w:t>
      </w:r>
      <w:r w:rsidR="00B76C56" w:rsidRPr="00FE1182">
        <w:rPr>
          <w:rFonts w:cs="Calibri"/>
          <w:sz w:val="24"/>
          <w:szCs w:val="24"/>
          <w:lang w:val="en-US"/>
        </w:rPr>
        <w:t>Apply</w:t>
      </w:r>
    </w:p>
    <w:p w14:paraId="70BBB953" w14:textId="0A545B64" w:rsidR="00B76C56" w:rsidRDefault="00A66BC5" w:rsidP="00B76C56">
      <w:r>
        <w:t xml:space="preserve">Interested laboratories should go through the following steps: </w:t>
      </w:r>
    </w:p>
    <w:p w14:paraId="60A244DD" w14:textId="29B1AD49" w:rsidR="00A66BC5" w:rsidRDefault="00A66BC5" w:rsidP="00FE1182">
      <w:r w:rsidRPr="00FE1182">
        <w:rPr>
          <w:b/>
        </w:rPr>
        <w:t>First step</w:t>
      </w:r>
      <w:r w:rsidR="00FE1182" w:rsidRPr="00FE1182">
        <w:rPr>
          <w:b/>
        </w:rPr>
        <w:t>:</w:t>
      </w:r>
      <w:r w:rsidR="00FE1182">
        <w:t xml:space="preserve"> </w:t>
      </w:r>
      <w:r>
        <w:t>Check your eligibility</w:t>
      </w:r>
    </w:p>
    <w:p w14:paraId="3E9B2EBF" w14:textId="04B16E54" w:rsidR="00A66BC5" w:rsidRDefault="00A66BC5" w:rsidP="00FE1182">
      <w:r w:rsidRPr="00FE1182">
        <w:rPr>
          <w:b/>
        </w:rPr>
        <w:t>Second step</w:t>
      </w:r>
      <w:r w:rsidR="00FE1182" w:rsidRPr="00FE1182">
        <w:rPr>
          <w:b/>
        </w:rPr>
        <w:t>:</w:t>
      </w:r>
      <w:r w:rsidR="00FE1182">
        <w:t xml:space="preserve"> </w:t>
      </w:r>
      <w:r>
        <w:t>Submit the following documents</w:t>
      </w:r>
      <w:r w:rsidR="00B76C56">
        <w:t xml:space="preserve"> </w:t>
      </w:r>
      <w:r w:rsidR="0068290B">
        <w:t>“Expression of Interest form”</w:t>
      </w:r>
      <w:r w:rsidR="002A11B8">
        <w:t xml:space="preserve"> and </w:t>
      </w:r>
      <w:r w:rsidR="00103AA2">
        <w:t>“</w:t>
      </w:r>
      <w:r w:rsidR="00207528">
        <w:t>Declaration of Hono</w:t>
      </w:r>
      <w:r w:rsidR="00951223">
        <w:t>u</w:t>
      </w:r>
      <w:r w:rsidR="00207528">
        <w:t>r”</w:t>
      </w:r>
      <w:r w:rsidR="00B76C56">
        <w:t xml:space="preserve"> via email to </w:t>
      </w:r>
      <w:r w:rsidR="00207528">
        <w:t xml:space="preserve">Dr. Jose Manuel Ramos </w:t>
      </w:r>
      <w:r w:rsidR="00B76C56">
        <w:t>(jramos@aitex.es).</w:t>
      </w:r>
    </w:p>
    <w:p w14:paraId="2C45919B" w14:textId="77777777" w:rsidR="00A66BC5" w:rsidRDefault="00A66BC5" w:rsidP="00A66BC5">
      <w:pPr>
        <w:pStyle w:val="Prrafodelista"/>
        <w:jc w:val="left"/>
      </w:pPr>
    </w:p>
    <w:p w14:paraId="032FDEB3" w14:textId="11E05426" w:rsidR="008208AF" w:rsidRDefault="00A66BC5" w:rsidP="00A66BC5">
      <w:pPr>
        <w:jc w:val="left"/>
        <w:rPr>
          <w:b/>
          <w:i/>
        </w:rPr>
      </w:pPr>
      <w:r w:rsidRPr="00A66BC5">
        <w:rPr>
          <w:b/>
          <w:i/>
        </w:rPr>
        <w:t xml:space="preserve">Documentation must be submitted before the established </w:t>
      </w:r>
      <w:r w:rsidR="00A308A8" w:rsidRPr="00A66BC5">
        <w:rPr>
          <w:b/>
          <w:i/>
        </w:rPr>
        <w:t>deadline:</w:t>
      </w:r>
      <w:r w:rsidR="009845C7">
        <w:rPr>
          <w:b/>
          <w:i/>
        </w:rPr>
        <w:t xml:space="preserve"> </w:t>
      </w:r>
      <w:r w:rsidRPr="00A66BC5">
        <w:rPr>
          <w:b/>
          <w:i/>
        </w:rPr>
        <w:t>2</w:t>
      </w:r>
      <w:r w:rsidR="00B9501C">
        <w:rPr>
          <w:b/>
          <w:i/>
        </w:rPr>
        <w:t>1</w:t>
      </w:r>
      <w:bookmarkStart w:id="1" w:name="_GoBack"/>
      <w:bookmarkEnd w:id="1"/>
      <w:r w:rsidRPr="00A66BC5">
        <w:rPr>
          <w:b/>
          <w:i/>
        </w:rPr>
        <w:t>/12/2017</w:t>
      </w:r>
    </w:p>
    <w:p w14:paraId="216FD2F6" w14:textId="11A68DA0" w:rsidR="003345B6" w:rsidRPr="00A66BC5" w:rsidRDefault="003345B6" w:rsidP="00A66BC5">
      <w:pPr>
        <w:jc w:val="left"/>
        <w:rPr>
          <w:b/>
          <w:i/>
        </w:rPr>
      </w:pPr>
      <w:r>
        <w:rPr>
          <w:b/>
          <w:i/>
        </w:rPr>
        <w:t>Additional document</w:t>
      </w:r>
      <w:r w:rsidR="0004044A">
        <w:rPr>
          <w:b/>
          <w:i/>
        </w:rPr>
        <w:t>s</w:t>
      </w:r>
      <w:r>
        <w:rPr>
          <w:b/>
          <w:i/>
        </w:rPr>
        <w:t xml:space="preserve"> can be requested</w:t>
      </w:r>
      <w:r w:rsidR="0004044A">
        <w:rPr>
          <w:b/>
          <w:i/>
        </w:rPr>
        <w:t xml:space="preserve"> to the applicants,</w:t>
      </w:r>
      <w:r>
        <w:rPr>
          <w:b/>
          <w:i/>
        </w:rPr>
        <w:t xml:space="preserve"> if needed.</w:t>
      </w:r>
    </w:p>
    <w:sectPr w:rsidR="003345B6" w:rsidRPr="00A66BC5" w:rsidSect="00211722">
      <w:headerReference w:type="default" r:id="rId10"/>
      <w:footerReference w:type="default" r:id="rId11"/>
      <w:pgSz w:w="11906" w:h="16838"/>
      <w:pgMar w:top="649" w:right="1701" w:bottom="1417" w:left="1701" w:header="14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6032C" w14:textId="77777777" w:rsidR="00211722" w:rsidRDefault="00211722" w:rsidP="00211722">
      <w:pPr>
        <w:spacing w:after="0" w:line="240" w:lineRule="auto"/>
      </w:pPr>
      <w:r>
        <w:separator/>
      </w:r>
    </w:p>
  </w:endnote>
  <w:endnote w:type="continuationSeparator" w:id="0">
    <w:p w14:paraId="4DE07EE9" w14:textId="77777777" w:rsidR="00211722" w:rsidRDefault="00211722" w:rsidP="0021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5017E" w14:textId="77777777" w:rsidR="00211722" w:rsidRPr="00211722" w:rsidRDefault="00211722" w:rsidP="00211722">
    <w:pPr>
      <w:tabs>
        <w:tab w:val="center" w:pos="4252"/>
        <w:tab w:val="right" w:pos="8504"/>
      </w:tabs>
      <w:spacing w:after="0" w:line="240" w:lineRule="auto"/>
      <w:jc w:val="left"/>
    </w:pPr>
    <w:r w:rsidRPr="00211722">
      <w:rPr>
        <w:noProof/>
        <w:sz w:val="20"/>
      </w:rPr>
      <w:drawing>
        <wp:anchor distT="0" distB="0" distL="114300" distR="114300" simplePos="0" relativeHeight="251659264" behindDoc="1" locked="0" layoutInCell="1" allowOverlap="1" wp14:anchorId="48648E4F" wp14:editId="54B44903">
          <wp:simplePos x="0" y="0"/>
          <wp:positionH relativeFrom="column">
            <wp:posOffset>4328795</wp:posOffset>
          </wp:positionH>
          <wp:positionV relativeFrom="paragraph">
            <wp:posOffset>13970</wp:posOffset>
          </wp:positionV>
          <wp:extent cx="1178008" cy="638175"/>
          <wp:effectExtent l="0" t="0" r="3175"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008" cy="638175"/>
                  </a:xfrm>
                  <a:prstGeom prst="rect">
                    <a:avLst/>
                  </a:prstGeom>
                  <a:noFill/>
                </pic:spPr>
              </pic:pic>
            </a:graphicData>
          </a:graphic>
          <wp14:sizeRelH relativeFrom="margin">
            <wp14:pctWidth>0</wp14:pctWidth>
          </wp14:sizeRelH>
          <wp14:sizeRelV relativeFrom="margin">
            <wp14:pctHeight>0</wp14:pctHeight>
          </wp14:sizeRelV>
        </wp:anchor>
      </w:drawing>
    </w:r>
    <w:r w:rsidRPr="00211722">
      <w:rPr>
        <w:sz w:val="20"/>
      </w:rPr>
      <w:t>593/PP/GRO/IMA/16/11414</w:t>
    </w:r>
  </w:p>
  <w:p w14:paraId="14273264" w14:textId="77777777" w:rsidR="00211722" w:rsidRPr="00211722" w:rsidRDefault="00211722" w:rsidP="00211722">
    <w:pPr>
      <w:tabs>
        <w:tab w:val="center" w:pos="4252"/>
        <w:tab w:val="right" w:pos="8504"/>
      </w:tabs>
      <w:spacing w:after="0" w:line="240" w:lineRule="auto"/>
      <w:jc w:val="left"/>
      <w:rPr>
        <w:sz w:val="20"/>
      </w:rPr>
    </w:pPr>
    <w:r w:rsidRPr="00211722">
      <w:rPr>
        <w:sz w:val="20"/>
      </w:rPr>
      <w:t>TECHNICAL GUIDELINES FOR EU TEXTILE LABORATORIES</w:t>
    </w:r>
  </w:p>
  <w:p w14:paraId="3EC4E44B" w14:textId="77777777" w:rsidR="00211722" w:rsidRPr="00211722" w:rsidRDefault="00211722" w:rsidP="00211722">
    <w:pPr>
      <w:tabs>
        <w:tab w:val="center" w:pos="4252"/>
        <w:tab w:val="right" w:pos="8504"/>
      </w:tabs>
      <w:spacing w:after="0" w:line="240" w:lineRule="auto"/>
      <w:jc w:val="left"/>
      <w:rPr>
        <w:sz w:val="10"/>
      </w:rPr>
    </w:pPr>
  </w:p>
  <w:p w14:paraId="2276F367" w14:textId="6FAD6E21" w:rsidR="00211722" w:rsidRPr="00211722" w:rsidRDefault="00211722" w:rsidP="00211722">
    <w:pPr>
      <w:tabs>
        <w:tab w:val="center" w:pos="4252"/>
        <w:tab w:val="right" w:pos="8504"/>
      </w:tabs>
      <w:spacing w:after="0" w:line="240" w:lineRule="auto"/>
      <w:jc w:val="center"/>
    </w:pPr>
    <w:r w:rsidRPr="00211722">
      <w:t xml:space="preserve">Page </w:t>
    </w:r>
    <w:r w:rsidRPr="00211722">
      <w:fldChar w:fldCharType="begin"/>
    </w:r>
    <w:r w:rsidRPr="00211722">
      <w:instrText>PAGE  \* Arabic  \* MERGEFORMAT</w:instrText>
    </w:r>
    <w:r w:rsidRPr="00211722">
      <w:fldChar w:fldCharType="separate"/>
    </w:r>
    <w:r w:rsidR="00B9501C">
      <w:rPr>
        <w:noProof/>
      </w:rPr>
      <w:t>1</w:t>
    </w:r>
    <w:r w:rsidRPr="00211722">
      <w:fldChar w:fldCharType="end"/>
    </w:r>
    <w:r w:rsidRPr="00211722">
      <w:t xml:space="preserve"> of </w:t>
    </w:r>
    <w:fldSimple w:instr="NUMPAGES  \* Arabic  \* MERGEFORMAT">
      <w:r w:rsidR="00B9501C">
        <w:rPr>
          <w:noProof/>
        </w:rPr>
        <w:t>3</w:t>
      </w:r>
    </w:fldSimple>
  </w:p>
  <w:p w14:paraId="245C8014" w14:textId="77777777" w:rsidR="00211722" w:rsidRDefault="002117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5AF58" w14:textId="77777777" w:rsidR="00211722" w:rsidRDefault="00211722" w:rsidP="00211722">
      <w:pPr>
        <w:spacing w:after="0" w:line="240" w:lineRule="auto"/>
      </w:pPr>
      <w:r>
        <w:separator/>
      </w:r>
    </w:p>
  </w:footnote>
  <w:footnote w:type="continuationSeparator" w:id="0">
    <w:p w14:paraId="25F4805D" w14:textId="77777777" w:rsidR="00211722" w:rsidRDefault="00211722" w:rsidP="00211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8" w:type="dxa"/>
      <w:tblLayout w:type="fixed"/>
      <w:tblCellMar>
        <w:left w:w="0" w:type="dxa"/>
        <w:right w:w="0" w:type="dxa"/>
      </w:tblCellMar>
      <w:tblLook w:val="0000" w:firstRow="0" w:lastRow="0" w:firstColumn="0" w:lastColumn="0" w:noHBand="0" w:noVBand="0"/>
    </w:tblPr>
    <w:tblGrid>
      <w:gridCol w:w="1842"/>
      <w:gridCol w:w="7776"/>
    </w:tblGrid>
    <w:tr w:rsidR="00211722" w:rsidRPr="00211722" w14:paraId="495BD45F" w14:textId="77777777" w:rsidTr="003E18E8">
      <w:trPr>
        <w:trHeight w:val="1105"/>
      </w:trPr>
      <w:tc>
        <w:tcPr>
          <w:tcW w:w="1842" w:type="dxa"/>
          <w:tcBorders>
            <w:top w:val="nil"/>
            <w:left w:val="nil"/>
            <w:bottom w:val="nil"/>
            <w:right w:val="nil"/>
          </w:tcBorders>
        </w:tcPr>
        <w:p w14:paraId="76FDB022" w14:textId="77777777" w:rsidR="00211722" w:rsidRPr="00211722" w:rsidRDefault="00211722" w:rsidP="00211722">
          <w:pPr>
            <w:widowControl w:val="0"/>
            <w:spacing w:after="0" w:line="240" w:lineRule="auto"/>
            <w:ind w:right="85"/>
            <w:rPr>
              <w:rFonts w:ascii="Arial" w:eastAsia="Times New Roman" w:hAnsi="Arial" w:cs="Times New Roman"/>
              <w:snapToGrid w:val="0"/>
              <w:sz w:val="28"/>
              <w:szCs w:val="28"/>
            </w:rPr>
          </w:pPr>
        </w:p>
      </w:tc>
      <w:tc>
        <w:tcPr>
          <w:tcW w:w="7776" w:type="dxa"/>
          <w:tcBorders>
            <w:top w:val="nil"/>
            <w:left w:val="nil"/>
            <w:bottom w:val="nil"/>
            <w:right w:val="nil"/>
          </w:tcBorders>
        </w:tcPr>
        <w:p w14:paraId="52F98478" w14:textId="091FA2F7" w:rsidR="00211722" w:rsidRPr="00211722" w:rsidRDefault="00211722" w:rsidP="00211722">
          <w:pPr>
            <w:widowControl w:val="0"/>
            <w:spacing w:after="0" w:line="240" w:lineRule="auto"/>
            <w:ind w:left="312" w:right="85"/>
            <w:rPr>
              <w:rFonts w:ascii="Arial" w:eastAsia="Times New Roman" w:hAnsi="Arial" w:cs="Times New Roman"/>
              <w:snapToGrid w:val="0"/>
              <w:sz w:val="28"/>
              <w:szCs w:val="28"/>
            </w:rPr>
          </w:pPr>
        </w:p>
      </w:tc>
    </w:tr>
  </w:tbl>
  <w:p w14:paraId="18C9D01A" w14:textId="77777777" w:rsidR="00211722" w:rsidRDefault="002117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A7D"/>
    <w:multiLevelType w:val="hybridMultilevel"/>
    <w:tmpl w:val="9CBC5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80062"/>
    <w:multiLevelType w:val="hybridMultilevel"/>
    <w:tmpl w:val="DC5AE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45314"/>
    <w:multiLevelType w:val="hybridMultilevel"/>
    <w:tmpl w:val="D79E7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5673EA"/>
    <w:multiLevelType w:val="hybridMultilevel"/>
    <w:tmpl w:val="46C43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D7FCA"/>
    <w:multiLevelType w:val="hybridMultilevel"/>
    <w:tmpl w:val="779CF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7B6416"/>
    <w:multiLevelType w:val="hybridMultilevel"/>
    <w:tmpl w:val="5C1E877A"/>
    <w:lvl w:ilvl="0" w:tplc="5916FF3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611972"/>
    <w:multiLevelType w:val="multilevel"/>
    <w:tmpl w:val="A4BC68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70118C"/>
    <w:multiLevelType w:val="hybridMultilevel"/>
    <w:tmpl w:val="B41C4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46558"/>
    <w:multiLevelType w:val="hybridMultilevel"/>
    <w:tmpl w:val="77F8C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06209"/>
    <w:multiLevelType w:val="multilevel"/>
    <w:tmpl w:val="A4BC68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ED53B6"/>
    <w:multiLevelType w:val="hybridMultilevel"/>
    <w:tmpl w:val="22EC1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937F9A"/>
    <w:multiLevelType w:val="hybridMultilevel"/>
    <w:tmpl w:val="13CAA3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4BC1F9E"/>
    <w:multiLevelType w:val="hybridMultilevel"/>
    <w:tmpl w:val="9CBC5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873AB1"/>
    <w:multiLevelType w:val="hybridMultilevel"/>
    <w:tmpl w:val="BD863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B90E8C"/>
    <w:multiLevelType w:val="hybridMultilevel"/>
    <w:tmpl w:val="794CF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A0095A"/>
    <w:multiLevelType w:val="hybridMultilevel"/>
    <w:tmpl w:val="C2FA8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5F4AD9"/>
    <w:multiLevelType w:val="hybridMultilevel"/>
    <w:tmpl w:val="7A269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7010F3"/>
    <w:multiLevelType w:val="hybridMultilevel"/>
    <w:tmpl w:val="B5C274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5"/>
  </w:num>
  <w:num w:numId="3">
    <w:abstractNumId w:val="9"/>
  </w:num>
  <w:num w:numId="4">
    <w:abstractNumId w:val="11"/>
  </w:num>
  <w:num w:numId="5">
    <w:abstractNumId w:val="2"/>
  </w:num>
  <w:num w:numId="6">
    <w:abstractNumId w:val="13"/>
  </w:num>
  <w:num w:numId="7">
    <w:abstractNumId w:val="16"/>
  </w:num>
  <w:num w:numId="8">
    <w:abstractNumId w:val="15"/>
  </w:num>
  <w:num w:numId="9">
    <w:abstractNumId w:val="8"/>
  </w:num>
  <w:num w:numId="10">
    <w:abstractNumId w:val="0"/>
  </w:num>
  <w:num w:numId="11">
    <w:abstractNumId w:val="7"/>
  </w:num>
  <w:num w:numId="12">
    <w:abstractNumId w:val="10"/>
  </w:num>
  <w:num w:numId="13">
    <w:abstractNumId w:val="4"/>
  </w:num>
  <w:num w:numId="14">
    <w:abstractNumId w:val="12"/>
  </w:num>
  <w:num w:numId="15">
    <w:abstractNumId w:val="17"/>
  </w:num>
  <w:num w:numId="16">
    <w:abstractNumId w:val="1"/>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zNLewMLE0MjQ0NTdW0lEKTi0uzszPAykwNKkFAAE+h7UtAAAA"/>
  </w:docVars>
  <w:rsids>
    <w:rsidRoot w:val="009C7786"/>
    <w:rsid w:val="000008F1"/>
    <w:rsid w:val="00005381"/>
    <w:rsid w:val="000116FA"/>
    <w:rsid w:val="0004044A"/>
    <w:rsid w:val="0004274E"/>
    <w:rsid w:val="00062C90"/>
    <w:rsid w:val="0006698D"/>
    <w:rsid w:val="000B6F91"/>
    <w:rsid w:val="000D394E"/>
    <w:rsid w:val="00103AA2"/>
    <w:rsid w:val="00104BD5"/>
    <w:rsid w:val="00137FCE"/>
    <w:rsid w:val="001A3440"/>
    <w:rsid w:val="001B6515"/>
    <w:rsid w:val="001F07B7"/>
    <w:rsid w:val="001F1F7A"/>
    <w:rsid w:val="0020594F"/>
    <w:rsid w:val="00207528"/>
    <w:rsid w:val="00211722"/>
    <w:rsid w:val="00221B9D"/>
    <w:rsid w:val="00226D26"/>
    <w:rsid w:val="00263FA0"/>
    <w:rsid w:val="00286B21"/>
    <w:rsid w:val="00295281"/>
    <w:rsid w:val="002A11B8"/>
    <w:rsid w:val="002A4011"/>
    <w:rsid w:val="002B113A"/>
    <w:rsid w:val="002B535C"/>
    <w:rsid w:val="002C5216"/>
    <w:rsid w:val="00314205"/>
    <w:rsid w:val="0032786A"/>
    <w:rsid w:val="003345B6"/>
    <w:rsid w:val="0035164C"/>
    <w:rsid w:val="003A1729"/>
    <w:rsid w:val="003D48A1"/>
    <w:rsid w:val="003E3BB4"/>
    <w:rsid w:val="003E4E1C"/>
    <w:rsid w:val="003E525E"/>
    <w:rsid w:val="003F3B5E"/>
    <w:rsid w:val="004105AD"/>
    <w:rsid w:val="00417958"/>
    <w:rsid w:val="00482F66"/>
    <w:rsid w:val="00484E71"/>
    <w:rsid w:val="004926B5"/>
    <w:rsid w:val="004A42C3"/>
    <w:rsid w:val="004B6445"/>
    <w:rsid w:val="004E4EC9"/>
    <w:rsid w:val="00534829"/>
    <w:rsid w:val="00543E3F"/>
    <w:rsid w:val="005B050B"/>
    <w:rsid w:val="005D0B68"/>
    <w:rsid w:val="005D4037"/>
    <w:rsid w:val="005F22DB"/>
    <w:rsid w:val="006242AB"/>
    <w:rsid w:val="00665B7F"/>
    <w:rsid w:val="0068055C"/>
    <w:rsid w:val="0068290B"/>
    <w:rsid w:val="00690A83"/>
    <w:rsid w:val="006C6D60"/>
    <w:rsid w:val="006E140B"/>
    <w:rsid w:val="00744E16"/>
    <w:rsid w:val="00776121"/>
    <w:rsid w:val="00795088"/>
    <w:rsid w:val="007C7082"/>
    <w:rsid w:val="007E1092"/>
    <w:rsid w:val="007E71D8"/>
    <w:rsid w:val="007E7D35"/>
    <w:rsid w:val="008208AF"/>
    <w:rsid w:val="008C50BC"/>
    <w:rsid w:val="009135D8"/>
    <w:rsid w:val="00916F31"/>
    <w:rsid w:val="00920F96"/>
    <w:rsid w:val="00951223"/>
    <w:rsid w:val="009845C7"/>
    <w:rsid w:val="00992038"/>
    <w:rsid w:val="009B2E1C"/>
    <w:rsid w:val="009C7786"/>
    <w:rsid w:val="009F7DDC"/>
    <w:rsid w:val="00A03177"/>
    <w:rsid w:val="00A308A8"/>
    <w:rsid w:val="00A66BC5"/>
    <w:rsid w:val="00AA66E1"/>
    <w:rsid w:val="00AB1F5A"/>
    <w:rsid w:val="00AB635D"/>
    <w:rsid w:val="00B071E9"/>
    <w:rsid w:val="00B27AE3"/>
    <w:rsid w:val="00B40356"/>
    <w:rsid w:val="00B56D39"/>
    <w:rsid w:val="00B60F57"/>
    <w:rsid w:val="00B76C56"/>
    <w:rsid w:val="00B830A1"/>
    <w:rsid w:val="00B9501C"/>
    <w:rsid w:val="00BD516F"/>
    <w:rsid w:val="00C00508"/>
    <w:rsid w:val="00C137C1"/>
    <w:rsid w:val="00C84226"/>
    <w:rsid w:val="00D0455D"/>
    <w:rsid w:val="00D10A59"/>
    <w:rsid w:val="00D26011"/>
    <w:rsid w:val="00DC4B0A"/>
    <w:rsid w:val="00DE720F"/>
    <w:rsid w:val="00DF1DFC"/>
    <w:rsid w:val="00E25AA8"/>
    <w:rsid w:val="00E73C82"/>
    <w:rsid w:val="00E962CE"/>
    <w:rsid w:val="00EE5233"/>
    <w:rsid w:val="00F10D48"/>
    <w:rsid w:val="00F31E43"/>
    <w:rsid w:val="00F34A4F"/>
    <w:rsid w:val="00F34DA7"/>
    <w:rsid w:val="00F3668B"/>
    <w:rsid w:val="00F414CE"/>
    <w:rsid w:val="00F61820"/>
    <w:rsid w:val="00F776C9"/>
    <w:rsid w:val="00F923EC"/>
    <w:rsid w:val="00FE1182"/>
    <w:rsid w:val="00FE4447"/>
    <w:rsid w:val="00FE6D3A"/>
    <w:rsid w:val="00FF2A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3B12F"/>
  <w15:docId w15:val="{B8F07C20-F0F1-498A-ACE1-0C9A6DE4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8AF"/>
    <w:pPr>
      <w:jc w:val="both"/>
    </w:pPr>
    <w:rPr>
      <w:lang w:val="en-GB"/>
    </w:rPr>
  </w:style>
  <w:style w:type="paragraph" w:styleId="Ttulo1">
    <w:name w:val="heading 1"/>
    <w:basedOn w:val="Normal"/>
    <w:next w:val="Normal"/>
    <w:link w:val="Ttulo1Car"/>
    <w:uiPriority w:val="9"/>
    <w:qFormat/>
    <w:rsid w:val="00534829"/>
    <w:pPr>
      <w:keepNext/>
      <w:keepLines/>
      <w:spacing w:before="480" w:after="0" w:line="276" w:lineRule="auto"/>
      <w:jc w:val="left"/>
      <w:outlineLvl w:val="0"/>
    </w:pPr>
    <w:rPr>
      <w:rFonts w:asciiTheme="majorHAnsi" w:eastAsiaTheme="majorEastAsia" w:hAnsiTheme="majorHAnsi" w:cstheme="majorBidi"/>
      <w:b/>
      <w:bCs/>
      <w:color w:val="2F5496" w:themeColor="accent1" w:themeShade="BF"/>
      <w:sz w:val="28"/>
      <w:szCs w:val="28"/>
      <w:lang w:val="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7786"/>
    <w:pPr>
      <w:ind w:left="720"/>
      <w:contextualSpacing/>
    </w:pPr>
  </w:style>
  <w:style w:type="table" w:styleId="Tablaconcuadrcula">
    <w:name w:val="Table Grid"/>
    <w:basedOn w:val="Tablanormal"/>
    <w:uiPriority w:val="39"/>
    <w:rsid w:val="00C0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E4E1C"/>
    <w:rPr>
      <w:color w:val="0563C1" w:themeColor="hyperlink"/>
      <w:u w:val="single"/>
    </w:rPr>
  </w:style>
  <w:style w:type="character" w:customStyle="1" w:styleId="Mencionar1">
    <w:name w:val="Mencionar1"/>
    <w:basedOn w:val="Fuentedeprrafopredeter"/>
    <w:uiPriority w:val="99"/>
    <w:semiHidden/>
    <w:unhideWhenUsed/>
    <w:rsid w:val="003E4E1C"/>
    <w:rPr>
      <w:color w:val="2B579A"/>
      <w:shd w:val="clear" w:color="auto" w:fill="E6E6E6"/>
    </w:rPr>
  </w:style>
  <w:style w:type="paragraph" w:styleId="Textodeglobo">
    <w:name w:val="Balloon Text"/>
    <w:basedOn w:val="Normal"/>
    <w:link w:val="TextodegloboCar"/>
    <w:uiPriority w:val="99"/>
    <w:semiHidden/>
    <w:unhideWhenUsed/>
    <w:rsid w:val="003E4E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E1C"/>
    <w:rPr>
      <w:rFonts w:ascii="Segoe UI" w:hAnsi="Segoe UI" w:cs="Segoe UI"/>
      <w:sz w:val="18"/>
      <w:szCs w:val="18"/>
    </w:rPr>
  </w:style>
  <w:style w:type="paragraph" w:styleId="Citadestacada">
    <w:name w:val="Intense Quote"/>
    <w:basedOn w:val="Normal"/>
    <w:next w:val="Normal"/>
    <w:link w:val="CitadestacadaCar"/>
    <w:uiPriority w:val="30"/>
    <w:qFormat/>
    <w:rsid w:val="008C50B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8C50BC"/>
    <w:rPr>
      <w:i/>
      <w:iCs/>
      <w:color w:val="4472C4" w:themeColor="accent1"/>
    </w:rPr>
  </w:style>
  <w:style w:type="character" w:styleId="Refdecomentario">
    <w:name w:val="annotation reference"/>
    <w:basedOn w:val="Fuentedeprrafopredeter"/>
    <w:uiPriority w:val="99"/>
    <w:semiHidden/>
    <w:unhideWhenUsed/>
    <w:rsid w:val="00951223"/>
    <w:rPr>
      <w:sz w:val="16"/>
      <w:szCs w:val="16"/>
    </w:rPr>
  </w:style>
  <w:style w:type="paragraph" w:styleId="Textocomentario">
    <w:name w:val="annotation text"/>
    <w:basedOn w:val="Normal"/>
    <w:link w:val="TextocomentarioCar"/>
    <w:uiPriority w:val="99"/>
    <w:semiHidden/>
    <w:unhideWhenUsed/>
    <w:rsid w:val="009512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1223"/>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951223"/>
    <w:rPr>
      <w:b/>
      <w:bCs/>
    </w:rPr>
  </w:style>
  <w:style w:type="character" w:customStyle="1" w:styleId="AsuntodelcomentarioCar">
    <w:name w:val="Asunto del comentario Car"/>
    <w:basedOn w:val="TextocomentarioCar"/>
    <w:link w:val="Asuntodelcomentario"/>
    <w:uiPriority w:val="99"/>
    <w:semiHidden/>
    <w:rsid w:val="00951223"/>
    <w:rPr>
      <w:b/>
      <w:bCs/>
      <w:sz w:val="20"/>
      <w:szCs w:val="20"/>
      <w:lang w:val="en-GB"/>
    </w:rPr>
  </w:style>
  <w:style w:type="character" w:customStyle="1" w:styleId="Ttulo1Car">
    <w:name w:val="Título 1 Car"/>
    <w:basedOn w:val="Fuentedeprrafopredeter"/>
    <w:link w:val="Ttulo1"/>
    <w:uiPriority w:val="9"/>
    <w:rsid w:val="00534829"/>
    <w:rPr>
      <w:rFonts w:asciiTheme="majorHAnsi" w:eastAsiaTheme="majorEastAsia" w:hAnsiTheme="majorHAnsi" w:cstheme="majorBidi"/>
      <w:b/>
      <w:bCs/>
      <w:color w:val="2F5496" w:themeColor="accent1" w:themeShade="BF"/>
      <w:sz w:val="28"/>
      <w:szCs w:val="28"/>
      <w:lang w:val="el-GR"/>
    </w:rPr>
  </w:style>
  <w:style w:type="paragraph" w:customStyle="1" w:styleId="commentcontentpara">
    <w:name w:val="commentcontentpara"/>
    <w:basedOn w:val="Normal"/>
    <w:rsid w:val="005D4037"/>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Mencinsinresolver">
    <w:name w:val="Unresolved Mention"/>
    <w:basedOn w:val="Fuentedeprrafopredeter"/>
    <w:uiPriority w:val="99"/>
    <w:semiHidden/>
    <w:unhideWhenUsed/>
    <w:rsid w:val="0004044A"/>
    <w:rPr>
      <w:color w:val="808080"/>
      <w:shd w:val="clear" w:color="auto" w:fill="E6E6E6"/>
    </w:rPr>
  </w:style>
  <w:style w:type="paragraph" w:styleId="Encabezado">
    <w:name w:val="header"/>
    <w:basedOn w:val="Normal"/>
    <w:link w:val="EncabezadoCar"/>
    <w:uiPriority w:val="99"/>
    <w:unhideWhenUsed/>
    <w:rsid w:val="002117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1722"/>
    <w:rPr>
      <w:lang w:val="en-GB"/>
    </w:rPr>
  </w:style>
  <w:style w:type="paragraph" w:styleId="Piedepgina">
    <w:name w:val="footer"/>
    <w:basedOn w:val="Normal"/>
    <w:link w:val="PiedepginaCar"/>
    <w:uiPriority w:val="99"/>
    <w:unhideWhenUsed/>
    <w:rsid w:val="002117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172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713899">
      <w:bodyDiv w:val="1"/>
      <w:marLeft w:val="0"/>
      <w:marRight w:val="0"/>
      <w:marTop w:val="0"/>
      <w:marBottom w:val="0"/>
      <w:divBdr>
        <w:top w:val="none" w:sz="0" w:space="0" w:color="auto"/>
        <w:left w:val="none" w:sz="0" w:space="0" w:color="auto"/>
        <w:bottom w:val="none" w:sz="0" w:space="0" w:color="auto"/>
        <w:right w:val="none" w:sz="0" w:space="0" w:color="auto"/>
      </w:divBdr>
      <w:divsChild>
        <w:div w:id="168902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content/technical-guidelines-eu-textile-laboratories-0_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growth/content/technical-guidelines-eu-textile-laboratories-0_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DBE64-92A7-41C8-B333-4F7D1A69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4643</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Korina Molla</dc:creator>
  <cp:lastModifiedBy>Javier Pascual</cp:lastModifiedBy>
  <cp:revision>2</cp:revision>
  <cp:lastPrinted>2017-11-09T13:07:00Z</cp:lastPrinted>
  <dcterms:created xsi:type="dcterms:W3CDTF">2017-11-28T12:23:00Z</dcterms:created>
  <dcterms:modified xsi:type="dcterms:W3CDTF">2017-11-28T12:23:00Z</dcterms:modified>
</cp:coreProperties>
</file>